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B1" w:rsidRPr="007559A7" w:rsidRDefault="006E25B1" w:rsidP="006E25B1">
      <w:pPr>
        <w:shd w:val="clear" w:color="auto" w:fill="FFFFFF"/>
        <w:spacing w:after="288" w:line="360" w:lineRule="atLeast"/>
        <w:jc w:val="center"/>
        <w:rPr>
          <w:rFonts w:ascii="Tahoma" w:eastAsia="Times New Roman" w:hAnsi="Tahoma" w:cs="Tahoma"/>
          <w:color w:val="222222"/>
          <w:sz w:val="18"/>
          <w:szCs w:val="18"/>
        </w:rPr>
      </w:pPr>
      <w:r>
        <w:rPr>
          <w:rFonts w:ascii="Tahoma" w:eastAsia="Times New Roman" w:hAnsi="Tahoma" w:cs="Tahoma"/>
          <w:noProof/>
          <w:color w:val="27609B"/>
          <w:sz w:val="18"/>
          <w:szCs w:val="18"/>
        </w:rPr>
        <w:drawing>
          <wp:inline distT="0" distB="0" distL="0" distR="0">
            <wp:extent cx="1190625" cy="1419225"/>
            <wp:effectExtent l="19050" t="0" r="9525" b="0"/>
            <wp:docPr id="2" name="Рисунок 1" descr="http://www.zdrav.khv.ru/sites/files/zdrav/images/Minzdrav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rav.khv.ru/sites/files/zdrav/images/Minzdrav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09B"/>
          <w:sz w:val="18"/>
          <w:szCs w:val="18"/>
        </w:rPr>
        <w:drawing>
          <wp:inline distT="0" distB="0" distL="0" distR="0">
            <wp:extent cx="1190625" cy="1400175"/>
            <wp:effectExtent l="19050" t="0" r="9525" b="0"/>
            <wp:docPr id="3" name="Рисунок 2" descr="http://www.zdrav.khv.ru/sites/files/zdrav/images/nadzo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drav.khv.ru/sites/files/zdrav/images/nadzo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B1" w:rsidRDefault="006E25B1" w:rsidP="006E25B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687">
        <w:rPr>
          <w:rFonts w:ascii="Times New Roman" w:eastAsia="Times New Roman" w:hAnsi="Times New Roman" w:cs="Times New Roman"/>
          <w:b/>
          <w:sz w:val="28"/>
          <w:szCs w:val="28"/>
        </w:rPr>
        <w:t>О мероприятиях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94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проведенных в 2014</w:t>
      </w:r>
      <w:r w:rsidRPr="0051468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 w:rsidRPr="00994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4687">
        <w:rPr>
          <w:rFonts w:ascii="Times New Roman" w:eastAsia="Times New Roman" w:hAnsi="Times New Roman" w:cs="Times New Roman"/>
          <w:b/>
          <w:sz w:val="28"/>
          <w:szCs w:val="28"/>
        </w:rPr>
        <w:t>в МБУ «Каневская ЦРБ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:rsidR="006E25B1" w:rsidRDefault="006E25B1" w:rsidP="006E25B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6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1468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 противодействия</w:t>
      </w:r>
      <w:r w:rsidRPr="0051468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коррупции </w:t>
      </w:r>
    </w:p>
    <w:p w:rsidR="006E25B1" w:rsidRDefault="006E25B1" w:rsidP="006E25B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1" w:rsidRDefault="006E25B1" w:rsidP="006E25B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МБУ «Каневская ЦРБ» осуществляется в соответствии с  ФЗ от 25.12.2008 года № 273 – ФЗ «О противодействии коррупции»,   Законом КК от 28.10.2010 года № 2057-КЗ «О противодействии коррупции в Краснодарском крае» и  приказом главного врача  от ___ декабря 2013 года  № ___ «Об утверждении плана мероприятий по противодействию коррупции в МБУ «Каневская ЦРБ» в 2014 году».</w:t>
      </w:r>
      <w:proofErr w:type="gramEnd"/>
    </w:p>
    <w:p w:rsidR="006E25B1" w:rsidRDefault="006E25B1" w:rsidP="006E25B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Так,  во исполнение  положений названных нормативных документов, специалистами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межрайонного филиала Территориального фонда обязательного медицинского страхования (ЕКТФОМС)  в мае 2014 года</w:t>
      </w:r>
    </w:p>
    <w:p w:rsidR="006E25B1" w:rsidRDefault="006E25B1" w:rsidP="006E25B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 проверка (анкетирование)  по вопросам  качества оказания медицинских услуг в ЛПУ района, включая вопросы взимания денежных средств за оказание медицинских услуг. По результатам проведенного анкетирования в МБУ «Каневская ЦРБ» не зарегистрированы случаи  взимания денежных средств за оказанные медицинские услуги.</w:t>
      </w:r>
    </w:p>
    <w:p w:rsidR="006E25B1" w:rsidRDefault="006E25B1" w:rsidP="006E25B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целью мониторинга реализации мероприятий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ежеквартально</w:t>
      </w:r>
      <w:r w:rsidRPr="00B47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специалистами организационно-методического отдела (ОМО) ЦРБ проводится анонимное анкетирование пациентов  стационара и поликлиники по данному вопросу. Аналитическая информация по результатам анкетирования  направляется главному врачу для принятия управленческих решений. Так по  результатам анонимного анкетирования пациентов, проведенного специалистами ОМО ЦРБ в феврале и июне 2014 года,  среди респондентов не зарегистрированы случаи  взимания денежных средств или иных материальных благ за оказание медицинских услуг. Данные результаты  озвучены на врачебной  конференции в июне  текущего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E25B1" w:rsidRPr="00313B0B" w:rsidRDefault="006E25B1" w:rsidP="006E25B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13B0B">
        <w:rPr>
          <w:rFonts w:ascii="Times New Roman" w:hAnsi="Times New Roman"/>
          <w:sz w:val="28"/>
          <w:szCs w:val="28"/>
        </w:rPr>
        <w:t>.  На все лечебно-диагностическое оборудование  в ЦРБ ведутся формуляры.  В ежемесячном режиме проводится  мониторинг нагрузки на единицу оборудования. В случае поломки оборудования МБУ «Каневская ЦРБ» использует все возможности для их устранения в кратчайшие сроки</w:t>
      </w:r>
    </w:p>
    <w:p w:rsidR="006E25B1" w:rsidRPr="008C3063" w:rsidRDefault="006E25B1" w:rsidP="006E25B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ежемесячном режиме осуществляется мониторинг объемов нагрузки на имеющееся лечебно-диагностическое оборудование и мониторинг причин его простоя. Данная информация ежемесячно направляется в отдел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мониторинга исполнения целевых программ министерства здравоохранения Краснодарского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5B1" w:rsidRDefault="006E25B1" w:rsidP="006E25B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Проверки по вопросам соблюдения условий и порядка предоставления бесплатной медицинской помощи в рамках Территориальной программы государственных гарантий  в лечебных учреждениях  Каневского района,  по контролю за целевым использованием средств ОМС   при расчете листков нетрудоспособности по причине несчастных случаев на производстве и профессиональных заболеваний, включая оплату лечения застрахованных лиц непосредственно после тяжелых несчастных случаев на производстве,   осуществлены  также специалистами Краснодарского филиала ЗАО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МСК «Солидарность для жизни», СМО «Сибирь» и филиала № 12 ГУ Краснодарского регионального отделения Фонда социального страхования РФ. В ходе перечисленных проверок также не зарегистрировано случаев взимания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 с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ациентов за оказанные медицинские услуги.</w:t>
      </w:r>
    </w:p>
    <w:p w:rsidR="006E25B1" w:rsidRDefault="006E25B1" w:rsidP="006E25B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Министерство  здравоохранения Краснодарского края в ежемесячном режиме осуществляет мониторинг финансово-хозяйственной деятельности ЦРБ, включая исполнение финансовых обязательств по достижению целевых значений индикаторов «дорожной карты» в текущем году.</w:t>
      </w:r>
    </w:p>
    <w:p w:rsidR="006E25B1" w:rsidRPr="00313B0B" w:rsidRDefault="006E25B1" w:rsidP="006E25B1">
      <w:pPr>
        <w:shd w:val="clear" w:color="auto" w:fill="FFFFFF"/>
        <w:spacing w:after="0" w:line="240" w:lineRule="auto"/>
        <w:ind w:right="-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B0B">
        <w:rPr>
          <w:rFonts w:ascii="Times New Roman" w:hAnsi="Times New Roman"/>
          <w:sz w:val="28"/>
          <w:szCs w:val="28"/>
        </w:rPr>
        <w:t xml:space="preserve">Между МБУ «Каневская ЦРБ» и МКУ МО «Централизованная бухгалтерия учреждений здравоохранения» заключен договор  об оказании услуг по ведению бухгалтерского учета на безвозмездной основе.  </w:t>
      </w:r>
      <w:proofErr w:type="gramStart"/>
      <w:r w:rsidRPr="00313B0B">
        <w:rPr>
          <w:rFonts w:ascii="Times New Roman" w:hAnsi="Times New Roman"/>
          <w:sz w:val="28"/>
          <w:szCs w:val="28"/>
        </w:rPr>
        <w:t xml:space="preserve">За соблюдением финансовой дисциплины  осуществляют  постоянный контроль администрация ЦРБ, специалисты ревизионного отдела министерства здравоохранения Краснодарского края и администрации муниципального образования, контрольно-счетной палаты муниципального образования  Каневской район, финансового управления администрации муниципального образования Каневской район, прокуратуры Каневского района, территориального фонда ОМС, </w:t>
      </w:r>
      <w:proofErr w:type="spellStart"/>
      <w:r w:rsidRPr="00313B0B">
        <w:rPr>
          <w:rFonts w:ascii="Times New Roman" w:hAnsi="Times New Roman"/>
          <w:sz w:val="28"/>
          <w:szCs w:val="28"/>
        </w:rPr>
        <w:t>Ейского</w:t>
      </w:r>
      <w:proofErr w:type="spellEnd"/>
      <w:r w:rsidRPr="00313B0B">
        <w:rPr>
          <w:rFonts w:ascii="Times New Roman" w:hAnsi="Times New Roman"/>
          <w:sz w:val="28"/>
          <w:szCs w:val="28"/>
        </w:rPr>
        <w:t xml:space="preserve"> межрайонного филиала ОМС, фонда социального страхования, пенсионного фонда РФ, налоговой службы. </w:t>
      </w:r>
      <w:proofErr w:type="gramEnd"/>
    </w:p>
    <w:p w:rsidR="006E25B1" w:rsidRDefault="006E25B1" w:rsidP="006E25B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целью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проектов приказов главного врача  на предмет  выявления в них положений, способствующих созданию условий для проявления коррупции, на стадии их разработки они проходят обязательное согласование   юрисконсультом ЦРБ.</w:t>
      </w:r>
    </w:p>
    <w:p w:rsidR="006E25B1" w:rsidRPr="00DB4CAE" w:rsidRDefault="006E25B1" w:rsidP="006E25B1">
      <w:pPr>
        <w:shd w:val="clear" w:color="auto" w:fill="FFFFFF"/>
        <w:spacing w:after="0" w:line="240" w:lineRule="auto"/>
        <w:ind w:right="-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4CAE">
        <w:rPr>
          <w:rFonts w:ascii="Times New Roman" w:hAnsi="Times New Roman"/>
          <w:sz w:val="28"/>
          <w:szCs w:val="28"/>
        </w:rPr>
        <w:t>В  ЛПУ района  осуществляется электронная запись на прием к врачу через Интернет. Вход в систему электронной записи через сайт: </w:t>
      </w:r>
    </w:p>
    <w:p w:rsidR="006E25B1" w:rsidRPr="00DB4CAE" w:rsidRDefault="006E25B1" w:rsidP="006E25B1">
      <w:pPr>
        <w:shd w:val="clear" w:color="auto" w:fill="FFFFFF"/>
        <w:spacing w:after="0" w:line="240" w:lineRule="auto"/>
        <w:ind w:right="-907" w:firstLine="85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DB4CAE">
          <w:rPr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Pr="00DB4CAE">
          <w:rPr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DB4CAE">
          <w:rPr>
            <w:rFonts w:ascii="Times New Roman" w:hAnsi="Times New Roman"/>
            <w:b/>
            <w:bCs/>
            <w:sz w:val="28"/>
            <w:szCs w:val="28"/>
            <w:lang w:val="en-US"/>
          </w:rPr>
          <w:t>kuban</w:t>
        </w:r>
        <w:proofErr w:type="spellEnd"/>
        <w:r w:rsidRPr="00DB4CAE">
          <w:rPr>
            <w:rFonts w:ascii="Times New Roman" w:hAnsi="Times New Roman"/>
            <w:b/>
            <w:bCs/>
            <w:sz w:val="28"/>
            <w:szCs w:val="28"/>
          </w:rPr>
          <w:t>-</w:t>
        </w:r>
        <w:r w:rsidRPr="00DB4CAE">
          <w:rPr>
            <w:rFonts w:ascii="Times New Roman" w:hAnsi="Times New Roman"/>
            <w:b/>
            <w:bCs/>
            <w:sz w:val="28"/>
            <w:szCs w:val="28"/>
            <w:lang w:val="en-US"/>
          </w:rPr>
          <w:t>online</w:t>
        </w:r>
        <w:r w:rsidRPr="00DB4CAE">
          <w:rPr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DB4CAE">
          <w:rPr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DB4CAE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6E25B1" w:rsidRPr="00DB4CAE" w:rsidRDefault="006E25B1" w:rsidP="006E25B1">
      <w:pPr>
        <w:shd w:val="clear" w:color="auto" w:fill="FFFFFF"/>
        <w:spacing w:after="0" w:line="240" w:lineRule="auto"/>
        <w:ind w:right="-1" w:firstLine="850"/>
        <w:jc w:val="both"/>
        <w:rPr>
          <w:rFonts w:ascii="Times New Roman" w:hAnsi="Times New Roman"/>
          <w:sz w:val="28"/>
          <w:szCs w:val="28"/>
        </w:rPr>
      </w:pPr>
      <w:r w:rsidRPr="00DB4CAE">
        <w:rPr>
          <w:rFonts w:ascii="Times New Roman" w:hAnsi="Times New Roman"/>
          <w:sz w:val="28"/>
          <w:szCs w:val="28"/>
        </w:rPr>
        <w:t xml:space="preserve">С 2010 года на базе детской поликлиники функционирует </w:t>
      </w:r>
      <w:proofErr w:type="spellStart"/>
      <w:r w:rsidRPr="00DB4CAE">
        <w:rPr>
          <w:rFonts w:ascii="Times New Roman" w:hAnsi="Times New Roman"/>
          <w:sz w:val="28"/>
          <w:szCs w:val="28"/>
        </w:rPr>
        <w:t>инфомат</w:t>
      </w:r>
      <w:proofErr w:type="spellEnd"/>
      <w:r w:rsidRPr="00DB4CA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B4CAE">
        <w:rPr>
          <w:rFonts w:ascii="Times New Roman" w:hAnsi="Times New Roman"/>
          <w:sz w:val="28"/>
          <w:szCs w:val="28"/>
        </w:rPr>
        <w:t>самозаписи</w:t>
      </w:r>
      <w:proofErr w:type="spellEnd"/>
      <w:r w:rsidRPr="00DB4CAE">
        <w:rPr>
          <w:rFonts w:ascii="Times New Roman" w:hAnsi="Times New Roman"/>
          <w:sz w:val="28"/>
          <w:szCs w:val="28"/>
        </w:rPr>
        <w:t xml:space="preserve"> пациентов на прием к врачу. В текущем году планируется приобретение и установка сенсорного терминала (</w:t>
      </w:r>
      <w:proofErr w:type="spellStart"/>
      <w:r w:rsidRPr="00DB4CAE">
        <w:rPr>
          <w:rFonts w:ascii="Times New Roman" w:hAnsi="Times New Roman"/>
          <w:sz w:val="28"/>
          <w:szCs w:val="28"/>
        </w:rPr>
        <w:t>инфомата</w:t>
      </w:r>
      <w:proofErr w:type="spellEnd"/>
      <w:r w:rsidRPr="00DB4CAE">
        <w:rPr>
          <w:rFonts w:ascii="Times New Roman" w:hAnsi="Times New Roman"/>
          <w:sz w:val="28"/>
          <w:szCs w:val="28"/>
        </w:rPr>
        <w:t>) в районной поликлинике, что позволит уменьшить очереди в регистратуру и регулировать поток пациентов. Для дальнейшей интеграции  в информационную систему Краснодарского края планируется приобретение 67 терминальных станций для ведения персонифицированного учета оказания медицинских услуг.</w:t>
      </w:r>
    </w:p>
    <w:p w:rsidR="006E25B1" w:rsidRPr="00693BC3" w:rsidRDefault="006E25B1" w:rsidP="006E25B1">
      <w:pPr>
        <w:shd w:val="clear" w:color="auto" w:fill="FFFFFF"/>
        <w:spacing w:after="0" w:line="240" w:lineRule="auto"/>
        <w:ind w:right="-1" w:firstLine="850"/>
        <w:jc w:val="both"/>
        <w:rPr>
          <w:rFonts w:ascii="Times New Roman" w:hAnsi="Times New Roman"/>
          <w:sz w:val="28"/>
          <w:szCs w:val="28"/>
        </w:rPr>
      </w:pPr>
      <w:r w:rsidRPr="00693BC3">
        <w:rPr>
          <w:rFonts w:ascii="Times New Roman" w:hAnsi="Times New Roman"/>
          <w:sz w:val="28"/>
          <w:szCs w:val="28"/>
        </w:rPr>
        <w:t xml:space="preserve">В МБУ «Каневская ЦРБ»  организована и функционирует трехуровневая  система контроля качества и безопасности  медицинской деятельности. Мониторинг качества оказания медицинской помощи </w:t>
      </w:r>
      <w:r w:rsidRPr="00693BC3">
        <w:rPr>
          <w:rFonts w:ascii="Times New Roman" w:hAnsi="Times New Roman"/>
          <w:sz w:val="28"/>
          <w:szCs w:val="28"/>
        </w:rPr>
        <w:lastRenderedPageBreak/>
        <w:t xml:space="preserve">осуществляется в  ежемесячном режиме.  За 8 месяцев 2014 года экспертами первого и второго уровней проведено более 22 тысяч экспертиз. Коэффициент качества медицинской помощи за 8 </w:t>
      </w:r>
      <w:proofErr w:type="spellStart"/>
      <w:proofErr w:type="gramStart"/>
      <w:r w:rsidRPr="00693BC3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693BC3">
        <w:rPr>
          <w:rFonts w:ascii="Times New Roman" w:hAnsi="Times New Roman"/>
          <w:sz w:val="28"/>
          <w:szCs w:val="28"/>
        </w:rPr>
        <w:t xml:space="preserve"> 2014 года  составил  0,93.  Контроль данного вида медицинской деятельности осуществляет заместитель главного врача по клинико-экспертной работе.</w:t>
      </w:r>
    </w:p>
    <w:p w:rsidR="006E25B1" w:rsidRPr="00693BC3" w:rsidRDefault="006E25B1" w:rsidP="006E25B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664B4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/>
          <w:color w:val="C0504D" w:themeColor="accent2"/>
          <w:sz w:val="28"/>
          <w:szCs w:val="28"/>
        </w:rPr>
        <w:tab/>
      </w:r>
      <w:r w:rsidRPr="00693BC3">
        <w:rPr>
          <w:rFonts w:ascii="Times New Roman" w:hAnsi="Times New Roman"/>
          <w:sz w:val="28"/>
          <w:szCs w:val="28"/>
        </w:rPr>
        <w:t xml:space="preserve">В текущем году за 8 </w:t>
      </w:r>
      <w:proofErr w:type="spellStart"/>
      <w:proofErr w:type="gramStart"/>
      <w:r w:rsidRPr="00693BC3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693BC3">
        <w:rPr>
          <w:rFonts w:ascii="Times New Roman" w:hAnsi="Times New Roman"/>
          <w:sz w:val="28"/>
          <w:szCs w:val="28"/>
        </w:rPr>
        <w:t xml:space="preserve">  зарегистрированы 56 письменных обращений, что соответствует уровню прошлого года. Более 60% из них поступило на имя главного врача ЦРБ.  Более 85% обращений </w:t>
      </w:r>
      <w:proofErr w:type="gramStart"/>
      <w:r w:rsidRPr="00693BC3">
        <w:rPr>
          <w:rFonts w:ascii="Times New Roman" w:hAnsi="Times New Roman"/>
          <w:sz w:val="28"/>
          <w:szCs w:val="28"/>
        </w:rPr>
        <w:t>рассмотрены</w:t>
      </w:r>
      <w:proofErr w:type="gramEnd"/>
      <w:r w:rsidRPr="00693BC3">
        <w:rPr>
          <w:rFonts w:ascii="Times New Roman" w:hAnsi="Times New Roman"/>
          <w:sz w:val="28"/>
          <w:szCs w:val="28"/>
        </w:rPr>
        <w:t xml:space="preserve"> в срок до 15 дней. По результатам рассмотрения поступивших обращений в  72% случаев пациенты получили подробные разъяснения,  в 20% случаев  просьбы  граждан удовлетворены и в двух  случаях факты не подтвердились. Главным врачом на личном приеме </w:t>
      </w:r>
      <w:proofErr w:type="gramStart"/>
      <w:r w:rsidRPr="00693BC3">
        <w:rPr>
          <w:rFonts w:ascii="Times New Roman" w:hAnsi="Times New Roman"/>
          <w:sz w:val="28"/>
          <w:szCs w:val="28"/>
        </w:rPr>
        <w:t>приняты</w:t>
      </w:r>
      <w:proofErr w:type="gramEnd"/>
      <w:r w:rsidRPr="00693BC3">
        <w:rPr>
          <w:rFonts w:ascii="Times New Roman" w:hAnsi="Times New Roman"/>
          <w:sz w:val="28"/>
          <w:szCs w:val="28"/>
        </w:rPr>
        <w:t xml:space="preserve"> более 150 граждан.</w:t>
      </w:r>
    </w:p>
    <w:p w:rsidR="006E25B1" w:rsidRDefault="006E25B1" w:rsidP="006E25B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2014 году не зафиксированы обращения граждан, касающиеся  установленных фактов проявления коррупции как  в   структурных подразделениях ЦРБ и ЛПУ района, так и со стороны отдельных медицинских работников  организации.</w:t>
      </w:r>
    </w:p>
    <w:p w:rsidR="006E25B1" w:rsidRDefault="006E25B1" w:rsidP="006E25B1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ab/>
      </w:r>
      <w:r w:rsidRPr="00693BC3">
        <w:rPr>
          <w:rFonts w:ascii="Times New Roman" w:hAnsi="Times New Roman" w:cs="Times New Roman"/>
          <w:sz w:val="28"/>
          <w:szCs w:val="28"/>
        </w:rPr>
        <w:t xml:space="preserve">В связи с необходимостью больших капитальных вложений для приведения здания пищеблока и подсобных помещений в соответствие с требованиями санитарных норм и правил, в 2010 году было принято решение по передаче услуги по лечебному питанию на </w:t>
      </w:r>
      <w:proofErr w:type="spellStart"/>
      <w:r w:rsidRPr="00693BC3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693BC3">
        <w:rPr>
          <w:rFonts w:ascii="Times New Roman" w:hAnsi="Times New Roman" w:cs="Times New Roman"/>
          <w:sz w:val="28"/>
          <w:szCs w:val="28"/>
        </w:rPr>
        <w:t xml:space="preserve">. Ежегодно выбор организации, оказывающей данную услугу, осуществлялся на основании нормативных документов в сфере закупок. В 2014 году на процедуру торгов вышла единственная организация, контракт с которой был заключен по начальной цене. Постоянная претензионная работа привела к снижению цены с 01.06.2014 года со 151 рубля  за </w:t>
      </w:r>
      <w:proofErr w:type="spellStart"/>
      <w:proofErr w:type="gramStart"/>
      <w:r w:rsidRPr="00693BC3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693BC3">
        <w:rPr>
          <w:rFonts w:ascii="Times New Roman" w:hAnsi="Times New Roman" w:cs="Times New Roman"/>
          <w:sz w:val="28"/>
          <w:szCs w:val="28"/>
        </w:rPr>
        <w:t xml:space="preserve"> – день</w:t>
      </w:r>
      <w:proofErr w:type="gramEnd"/>
      <w:r w:rsidRPr="00693BC3">
        <w:rPr>
          <w:rFonts w:ascii="Times New Roman" w:hAnsi="Times New Roman" w:cs="Times New Roman"/>
          <w:sz w:val="28"/>
          <w:szCs w:val="28"/>
        </w:rPr>
        <w:t xml:space="preserve">  до 130 рублей. К 01.01.2015 года  МБУ «Каневская ЦРБ» готова перейти на единое унифицированное меню.</w:t>
      </w:r>
    </w:p>
    <w:p w:rsidR="006E25B1" w:rsidRDefault="006E25B1" w:rsidP="006E25B1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2B2B2B"/>
          <w:sz w:val="28"/>
          <w:szCs w:val="28"/>
        </w:rPr>
        <w:t xml:space="preserve"> </w:t>
      </w:r>
      <w:r w:rsidRPr="000A5BBF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A5BB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912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BBF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муниципальное здравоохранение </w:t>
      </w:r>
      <w:proofErr w:type="gramStart"/>
      <w:r w:rsidRPr="000A5BBF">
        <w:rPr>
          <w:rFonts w:ascii="Times New Roman" w:eastAsia="Times New Roman" w:hAnsi="Times New Roman" w:cs="Times New Roman"/>
          <w:sz w:val="28"/>
          <w:szCs w:val="28"/>
        </w:rPr>
        <w:t>привлечены</w:t>
      </w:r>
      <w:proofErr w:type="gramEnd"/>
      <w:r w:rsidRPr="000A5B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0A5BBF">
        <w:rPr>
          <w:rFonts w:ascii="Times New Roman" w:eastAsia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6E25B1" w:rsidRDefault="006E25B1" w:rsidP="006E25B1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кадрового обеспечения врачами муниципального бюджетного  учреждения «Каневская ЦРБ» находятся на постоянном контроле администрации ЦРБ.  Ежегодно МБУ «Каневская ЦРБ» участвует в Ярмарках вакансий, проводимых на базе Кубанского медицинского университета.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по итогам участия в Ярмарке вакансий, проводимой на базе Кубанского медицинского университета 23 апреля 2014 года 5 выпускников  КГМУ изъявили желание трудоустроиться в МБУ «Каневская ЦРБ в текущем году и 2 выпускника 2014 года, обучавшихся по целевой краевой программе «Врачебные кадры для сельского здравоохранения» изъявили  желание пройти интернатуру по специальностям: неврология и общая врачебная практика.</w:t>
      </w:r>
      <w:proofErr w:type="gramEnd"/>
    </w:p>
    <w:p w:rsidR="006E25B1" w:rsidRDefault="006E25B1" w:rsidP="006E25B1">
      <w:pPr>
        <w:pStyle w:val="a6"/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 выпускника образовательных учреждений района обучаются в КГМУ с текущего года по договору о целевом обучении за счет собственных средств МБУ «Каневская ЦРБ», по одному  выпускнику – за счет средств Каневского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сельских  поселений.</w:t>
      </w:r>
    </w:p>
    <w:p w:rsidR="006E25B1" w:rsidRDefault="006E25B1" w:rsidP="006E25B1">
      <w:pPr>
        <w:pStyle w:val="a6"/>
        <w:ind w:right="-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6D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1904CD">
        <w:rPr>
          <w:rFonts w:ascii="Times New Roman" w:eastAsia="Times New Roman" w:hAnsi="Times New Roman" w:cs="Times New Roman"/>
          <w:sz w:val="28"/>
          <w:szCs w:val="28"/>
        </w:rPr>
        <w:t>23 врача и 7 медицинских</w:t>
      </w:r>
      <w:r w:rsidRPr="000A5BBF">
        <w:rPr>
          <w:rFonts w:ascii="Times New Roman" w:eastAsia="Times New Roman" w:hAnsi="Times New Roman" w:cs="Times New Roman"/>
          <w:sz w:val="28"/>
          <w:szCs w:val="28"/>
        </w:rPr>
        <w:t xml:space="preserve"> сестер получают оплату найма жилья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1,5 тысячи  рублей оплачиваются из средств местного бюджета, а остальная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сумма (в полном объеме) – за счет средств, заработанных МБУ «Каневская ЦРБ» по платным услугам.</w:t>
      </w:r>
    </w:p>
    <w:p w:rsidR="006E25B1" w:rsidRDefault="006E25B1" w:rsidP="006E25B1">
      <w:pPr>
        <w:pStyle w:val="a6"/>
        <w:ind w:right="-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имеющихся  вакансиях в ЦРБ размещена  на Интернет – сайтах ЦРБ и администрации муниципального образования, в СМИ Каневского района, в Интернет изданиях других регионов.</w:t>
      </w:r>
      <w:r w:rsidRPr="000A5BB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25B1" w:rsidRDefault="006E25B1" w:rsidP="006E25B1">
      <w:pPr>
        <w:pStyle w:val="a6"/>
        <w:ind w:right="-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 укомплектования вакантных должностей   врачей в </w:t>
      </w:r>
      <w:proofErr w:type="spellStart"/>
      <w:r>
        <w:rPr>
          <w:rFonts w:ascii="Times New Roman" w:hAnsi="Times New Roman"/>
          <w:sz w:val="28"/>
          <w:szCs w:val="28"/>
        </w:rPr>
        <w:t>Сладколиманской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амбулатории и Новоминской участковой больнице  в  названных населенных пунктах в наличии:  коттедж для врача общей практики на х. Сладкий Лиман и 2-х комнатная квартира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Новоминской для врача терапевта.</w:t>
      </w:r>
    </w:p>
    <w:p w:rsidR="006E25B1" w:rsidRDefault="006E25B1" w:rsidP="006E25B1">
      <w:pPr>
        <w:pStyle w:val="a6"/>
        <w:ind w:right="-1" w:firstLine="850"/>
        <w:jc w:val="both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 закрепления специалистов  (врачей) в сельских поселениях Каневского  района: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Кубанскостепном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Красногвардейском и </w:t>
      </w:r>
      <w:proofErr w:type="spellStart"/>
      <w:r>
        <w:rPr>
          <w:rFonts w:ascii="Times New Roman" w:hAnsi="Times New Roman"/>
          <w:sz w:val="28"/>
          <w:szCs w:val="28"/>
        </w:rPr>
        <w:t>Новодеревянковском</w:t>
      </w:r>
      <w:proofErr w:type="spellEnd"/>
      <w:r>
        <w:rPr>
          <w:rFonts w:ascii="Times New Roman" w:hAnsi="Times New Roman"/>
          <w:sz w:val="28"/>
          <w:szCs w:val="28"/>
        </w:rPr>
        <w:t>,  администрация района совместно с главами администраций сельских поселений  готовы предоставить жилые помещения для врачей: терапевтов и врача общей (семейной) практики.</w:t>
      </w:r>
    </w:p>
    <w:p w:rsidR="006E25B1" w:rsidRDefault="006E25B1" w:rsidP="006E25B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улучшения качества информирования населения о деятельности МБУ «Каневская ЦРБ»  в местных СМИ, в сети Интернет размещена информация о ЦРБ: его структуре, вакансиях,  нормативных документах, на основании которых осуществляет свою деятельность ЦРБ;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2014 году создана новая версия официального Интернет – сайта МБУ «Каневская ЦРБ» (адрес: </w:t>
      </w:r>
      <w:hyperlink r:id="rId9" w:history="1">
        <w:proofErr w:type="gramEnd"/>
        <w:r w:rsidRPr="00723FB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www.Kan</w:t>
        </w:r>
        <w:r w:rsidRPr="00723FB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crb</w:t>
        </w:r>
        <w:r w:rsidRPr="00723FB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23FB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650CDD">
        <w:rPr>
          <w:rFonts w:ascii="Times New Roman" w:eastAsia="Times New Roman" w:hAnsi="Times New Roman" w:cs="Times New Roman"/>
          <w:sz w:val="28"/>
          <w:szCs w:val="28"/>
        </w:rPr>
        <w:t xml:space="preserve">), где размещена информация о ЦРБ в целом, </w:t>
      </w:r>
      <w:r>
        <w:rPr>
          <w:rFonts w:ascii="Times New Roman" w:eastAsia="Times New Roman" w:hAnsi="Times New Roman" w:cs="Times New Roman"/>
          <w:sz w:val="28"/>
          <w:szCs w:val="28"/>
        </w:rPr>
        <w:t>о должностных лицах ЦРБ и о контролирующих ЦРБ организациях, о структуре ЦРБ, о телефонах «горячей линии»,  о видах и условиях оказания медицинской помощи в условиях ЦРБ, о деятельности межмуниципального центра здоровье, в т.ч.  в части  осуществления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 по формированию здорового образа жизни, т.е. проведения дней здоровья в рамках Губернаторской стратегии «Будьте, здоровы!», о перечне жизненно важных лекарственных средств, о Территориальной программе государственных гарантий бесплатного оказания медицинской помощи в Краснодарском крае на 2014 год и плановый период 2015-2016 годов, о работе с обращениями граждан в текущем году;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нормативных документах, дающих право осуществлять медицинскую деятельность; о вакансиях специалистов в ЦРБ, об информатизации муниципального здравоохранения, о возможности электронной записи на прием к специалистам поликлинических учреждений ЦРБ: районной и детской поликлиник и женской консультации. Информация о руководителях ЦРБ, контролирующих ЦРБ организациях   размещена во всех ЛПУ района в доступном для обозрения месте, а также в телекоммуникационной сети Интернет  на сайтах МБУ «Каневская ЦРБ» и   администрации МО Каневской район, министерства здравоохранения Краснодарского края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разделе «социальная сфера». Любой гражданин, обладая достоверной информацией по фактам коррупции в сфере здравоохранения, может воспользоваться услугами  всех имеющихся видов связи. Сведения, полученные  от заявителей, дают  основания  для  их тщательной проверки, полного и объективного рассмотрения с целью  последующего принятия управленческих решений.</w:t>
      </w:r>
    </w:p>
    <w:p w:rsidR="006E25B1" w:rsidRDefault="006E25B1" w:rsidP="006E25B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 информационных стендах в структурных подразделениях ЦРБ  размещены сведения о перечне платных медицинских услуг, утвержденных в МБУ «Каневская ЦРБ» постановлением главы администрации МО Каневской район в 2009 году.</w:t>
      </w:r>
    </w:p>
    <w:p w:rsidR="006E25B1" w:rsidRDefault="006E25B1" w:rsidP="006E25B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Заместители главного врача: по медицинской части, по детству и родовспоможению, по клинико-экспертной работе, по экономическим вопросам ведут прием граждан  в ежедневном режиме с 8.00до 16.00. </w:t>
      </w:r>
    </w:p>
    <w:p w:rsidR="006E25B1" w:rsidRDefault="006E25B1" w:rsidP="006E25B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врач – по понедельникам: с 10.00 до 12.30 и по четвергам: с 15.00 до 17.00.</w:t>
      </w:r>
    </w:p>
    <w:p w:rsidR="006E25B1" w:rsidRDefault="006E25B1" w:rsidP="006E25B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Графики приема граждан по личным вопросам  должностными лицами ЦРБ размещен во всех ЛПУ района, а также  в  телекоммуникационной сети Интернет.</w:t>
      </w:r>
    </w:p>
    <w:p w:rsidR="006E25B1" w:rsidRDefault="006E25B1" w:rsidP="006E25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Нельзя также исключать и  готовность самих граждан к бытовой коррупции. Не единичны случаи, когда  гражданин, оказываясь в коррупционной ситуации, предпочитает дать взятку и, таким образом, ускорить решение того или иного вопроса. Из этого следует вывод, что значительное число жителей, говоря о коррупции как о негативном явлении, требующем искоренения, </w:t>
      </w:r>
      <w:proofErr w:type="spellStart"/>
      <w:r w:rsidRPr="000218F2">
        <w:rPr>
          <w:rFonts w:ascii="Times New Roman" w:hAnsi="Times New Roman" w:cs="Times New Roman"/>
          <w:sz w:val="28"/>
          <w:szCs w:val="28"/>
          <w:u w:val="single"/>
        </w:rPr>
        <w:t>поведенчески</w:t>
      </w:r>
      <w:proofErr w:type="spellEnd"/>
      <w:r w:rsidRPr="000218F2">
        <w:rPr>
          <w:rFonts w:ascii="Times New Roman" w:hAnsi="Times New Roman" w:cs="Times New Roman"/>
          <w:sz w:val="28"/>
          <w:szCs w:val="28"/>
          <w:u w:val="single"/>
        </w:rPr>
        <w:t xml:space="preserve"> настроено</w:t>
      </w:r>
      <w:r>
        <w:rPr>
          <w:rFonts w:ascii="Times New Roman" w:hAnsi="Times New Roman" w:cs="Times New Roman"/>
          <w:sz w:val="28"/>
          <w:szCs w:val="28"/>
        </w:rPr>
        <w:t xml:space="preserve"> на совершение коррупционных правонарушений.</w:t>
      </w:r>
    </w:p>
    <w:p w:rsidR="006E25B1" w:rsidRDefault="006E25B1" w:rsidP="006E25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коррупционной проблематики в сфере здравоохранения, ее особенностей, актов государственного  права, регулирующих вопросы борьбы с коррупцией, свидетельствуют о необходимости повышения правовых знаний медицинских работников в данном вопросе, выработки специализированных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механизмов  в нашей отрасли. При всем многообразии возможных мер борьбы с коррупцией ее краеугольным камнем остается  создание условий нетерпимости к данному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 стороны медицинских работников, так и со стороны самих пациентов.</w:t>
      </w:r>
    </w:p>
    <w:p w:rsidR="006E25B1" w:rsidRDefault="006E25B1" w:rsidP="006E25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25B1" w:rsidRDefault="006E25B1" w:rsidP="006E25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25B1" w:rsidRDefault="006E25B1" w:rsidP="006E25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25B1" w:rsidRDefault="006E25B1" w:rsidP="006E25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6E25B1" w:rsidRPr="00D94F34" w:rsidRDefault="006E25B1" w:rsidP="006E25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«Каневская ЦРБ»                                                           Л.Г.Монько</w:t>
      </w:r>
    </w:p>
    <w:p w:rsidR="006E25B1" w:rsidRPr="00D94F34" w:rsidRDefault="006E25B1" w:rsidP="006E25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25B1" w:rsidRPr="00D94F34" w:rsidRDefault="006E25B1" w:rsidP="006E25B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2014</w:t>
      </w:r>
    </w:p>
    <w:p w:rsidR="006E25B1" w:rsidRPr="00D94F34" w:rsidRDefault="006E25B1" w:rsidP="006E25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E25B1" w:rsidRPr="00D94F34" w:rsidRDefault="006E25B1" w:rsidP="006E25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25B1" w:rsidRPr="00D94F34" w:rsidRDefault="006E25B1" w:rsidP="006E25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25B1" w:rsidRPr="00D94F34" w:rsidRDefault="006E25B1" w:rsidP="006E25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25B1" w:rsidRPr="00D94F34" w:rsidRDefault="006E25B1" w:rsidP="006E25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25B1" w:rsidRPr="00D94F34" w:rsidRDefault="006E25B1" w:rsidP="006E25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25B1" w:rsidRPr="00D94F34" w:rsidRDefault="006E25B1" w:rsidP="006E25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25B1" w:rsidRPr="00D94F34" w:rsidRDefault="006E25B1" w:rsidP="006E25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31E" w:rsidRDefault="0018631E" w:rsidP="0018631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A473C" w:rsidRDefault="000A473C"/>
    <w:p w:rsidR="000A473C" w:rsidRDefault="000A473C"/>
    <w:p w:rsidR="000A473C" w:rsidRDefault="000A473C"/>
    <w:p w:rsidR="000A473C" w:rsidRDefault="000A473C" w:rsidP="000A47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Порядок обжалования эк</w:t>
      </w:r>
      <w:r>
        <w:rPr>
          <w:rFonts w:ascii="Arial" w:hAnsi="Arial" w:cs="Arial"/>
          <w:color w:val="333333"/>
          <w:sz w:val="19"/>
          <w:szCs w:val="19"/>
        </w:rPr>
        <w:softHyphen/>
        <w:t>спертных решений учреждений МСЭ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определён разделом VI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«Правил признания лица инвалидом», утверждённых постановлением Правитель</w:t>
      </w:r>
      <w:r>
        <w:rPr>
          <w:rFonts w:ascii="Arial" w:hAnsi="Arial" w:cs="Arial"/>
          <w:color w:val="333333"/>
          <w:sz w:val="19"/>
          <w:szCs w:val="19"/>
        </w:rPr>
        <w:softHyphen/>
        <w:t>ства Российской Федерации от 20.02.2006 № 95, и разделом V «Административного регла</w:t>
      </w:r>
      <w:r>
        <w:rPr>
          <w:rFonts w:ascii="Arial" w:hAnsi="Arial" w:cs="Arial"/>
          <w:color w:val="333333"/>
          <w:sz w:val="19"/>
          <w:szCs w:val="19"/>
        </w:rPr>
        <w:softHyphen/>
        <w:t>мента по предоставлению го</w:t>
      </w:r>
      <w:r>
        <w:rPr>
          <w:rFonts w:ascii="Arial" w:hAnsi="Arial" w:cs="Arial"/>
          <w:color w:val="333333"/>
          <w:sz w:val="19"/>
          <w:szCs w:val="19"/>
        </w:rPr>
        <w:softHyphen/>
        <w:t>сударственной услуги по про</w:t>
      </w:r>
      <w:r>
        <w:rPr>
          <w:rFonts w:ascii="Arial" w:hAnsi="Arial" w:cs="Arial"/>
          <w:color w:val="333333"/>
          <w:sz w:val="19"/>
          <w:szCs w:val="19"/>
        </w:rPr>
        <w:softHyphen/>
        <w:t xml:space="preserve">ведению медико-социальной экспертизы», утверждённого приказом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Минздравсоцразвития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России от 11.04.2011 г. № 295н. Гражданин (его за</w:t>
      </w:r>
      <w:r>
        <w:rPr>
          <w:rFonts w:ascii="Arial" w:hAnsi="Arial" w:cs="Arial"/>
          <w:color w:val="333333"/>
          <w:sz w:val="19"/>
          <w:szCs w:val="19"/>
        </w:rPr>
        <w:softHyphen/>
        <w:t>конный представитель) может обжаловать решение бюро в главное бюро в месячный срок на основании заявления, пода</w:t>
      </w:r>
      <w:r>
        <w:rPr>
          <w:rFonts w:ascii="Arial" w:hAnsi="Arial" w:cs="Arial"/>
          <w:color w:val="333333"/>
          <w:sz w:val="19"/>
          <w:szCs w:val="19"/>
        </w:rPr>
        <w:softHyphen/>
        <w:t>ваемого в бюро, проводившее медико-социальную эксперти</w:t>
      </w:r>
      <w:r>
        <w:rPr>
          <w:rFonts w:ascii="Arial" w:hAnsi="Arial" w:cs="Arial"/>
          <w:color w:val="333333"/>
          <w:sz w:val="19"/>
          <w:szCs w:val="19"/>
        </w:rPr>
        <w:softHyphen/>
        <w:t>зу, либо в главное бюро.</w:t>
      </w:r>
    </w:p>
    <w:p w:rsidR="000A473C" w:rsidRDefault="000A473C" w:rsidP="000A47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случае обжалования ре</w:t>
      </w:r>
      <w:r>
        <w:rPr>
          <w:rFonts w:ascii="Arial" w:hAnsi="Arial" w:cs="Arial"/>
          <w:color w:val="333333"/>
          <w:sz w:val="19"/>
          <w:szCs w:val="19"/>
        </w:rPr>
        <w:softHyphen/>
        <w:t>шения главного бюро главный эксперт по медико-социальной экспертизе с согласия гражда</w:t>
      </w:r>
      <w:r>
        <w:rPr>
          <w:rFonts w:ascii="Arial" w:hAnsi="Arial" w:cs="Arial"/>
          <w:color w:val="333333"/>
          <w:sz w:val="19"/>
          <w:szCs w:val="19"/>
        </w:rPr>
        <w:softHyphen/>
        <w:t>нина может поручить проведе</w:t>
      </w:r>
      <w:r>
        <w:rPr>
          <w:rFonts w:ascii="Arial" w:hAnsi="Arial" w:cs="Arial"/>
          <w:color w:val="333333"/>
          <w:sz w:val="19"/>
          <w:szCs w:val="19"/>
        </w:rPr>
        <w:softHyphen/>
        <w:t>ние его МСЭ другому составу специалистов главного бюро.</w:t>
      </w:r>
    </w:p>
    <w:p w:rsidR="000A473C" w:rsidRDefault="000A473C" w:rsidP="000A47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Обжаловать решение главно</w:t>
      </w:r>
      <w:r>
        <w:rPr>
          <w:rFonts w:ascii="Arial" w:hAnsi="Arial" w:cs="Arial"/>
          <w:color w:val="333333"/>
          <w:sz w:val="19"/>
          <w:szCs w:val="19"/>
        </w:rPr>
        <w:softHyphen/>
        <w:t>го бюро можно в Федеральное бюро в месячный срок на осно</w:t>
      </w:r>
      <w:r>
        <w:rPr>
          <w:rFonts w:ascii="Arial" w:hAnsi="Arial" w:cs="Arial"/>
          <w:color w:val="333333"/>
          <w:sz w:val="19"/>
          <w:szCs w:val="19"/>
        </w:rPr>
        <w:softHyphen/>
        <w:t>вании заявления, подаваемого в главное бюро, проводившее медико-социальную экспертизу, либо в Федеральное бюро.</w:t>
      </w:r>
    </w:p>
    <w:p w:rsidR="000A473C" w:rsidRDefault="000A473C" w:rsidP="000A47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Заявление об обжаловании может быть подано лично заяви</w:t>
      </w:r>
      <w:r>
        <w:rPr>
          <w:rFonts w:ascii="Arial" w:hAnsi="Arial" w:cs="Arial"/>
          <w:color w:val="333333"/>
          <w:sz w:val="19"/>
          <w:szCs w:val="19"/>
        </w:rPr>
        <w:softHyphen/>
        <w:t>телем, посредством почтовой связи либо единого портала государственных муниципаль</w:t>
      </w:r>
      <w:r>
        <w:rPr>
          <w:rFonts w:ascii="Arial" w:hAnsi="Arial" w:cs="Arial"/>
          <w:color w:val="333333"/>
          <w:sz w:val="19"/>
          <w:szCs w:val="19"/>
        </w:rPr>
        <w:softHyphen/>
        <w:t>ных услуг.</w:t>
      </w:r>
    </w:p>
    <w:p w:rsidR="000A473C" w:rsidRDefault="000A473C" w:rsidP="000A47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Бланки заявлений можно по</w:t>
      </w:r>
      <w:r>
        <w:rPr>
          <w:rFonts w:ascii="Arial" w:hAnsi="Arial" w:cs="Arial"/>
          <w:color w:val="333333"/>
          <w:sz w:val="19"/>
          <w:szCs w:val="19"/>
        </w:rPr>
        <w:softHyphen/>
        <w:t>лучить в бюро, где проводилось освидетельствование, или в от</w:t>
      </w:r>
      <w:r>
        <w:rPr>
          <w:rFonts w:ascii="Arial" w:hAnsi="Arial" w:cs="Arial"/>
          <w:color w:val="333333"/>
          <w:sz w:val="19"/>
          <w:szCs w:val="19"/>
        </w:rPr>
        <w:softHyphen/>
        <w:t>деле организации работы с доку</w:t>
      </w:r>
      <w:r>
        <w:rPr>
          <w:rFonts w:ascii="Arial" w:hAnsi="Arial" w:cs="Arial"/>
          <w:color w:val="333333"/>
          <w:sz w:val="19"/>
          <w:szCs w:val="19"/>
        </w:rPr>
        <w:softHyphen/>
        <w:t>ментами главного бюро по адре</w:t>
      </w:r>
      <w:r>
        <w:rPr>
          <w:rFonts w:ascii="Arial" w:hAnsi="Arial" w:cs="Arial"/>
          <w:color w:val="333333"/>
          <w:sz w:val="19"/>
          <w:szCs w:val="19"/>
        </w:rPr>
        <w:softHyphen/>
        <w:t>су: 350000, г. Краснодар, ул. Ча</w:t>
      </w:r>
      <w:r>
        <w:rPr>
          <w:rFonts w:ascii="Arial" w:hAnsi="Arial" w:cs="Arial"/>
          <w:color w:val="333333"/>
          <w:sz w:val="19"/>
          <w:szCs w:val="19"/>
        </w:rPr>
        <w:softHyphen/>
        <w:t xml:space="preserve">паева, 58 (1-й этаж,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каб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 100).</w:t>
      </w:r>
    </w:p>
    <w:p w:rsidR="000A473C" w:rsidRDefault="000A473C" w:rsidP="000A47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Заявление может быть написа</w:t>
      </w:r>
      <w:r>
        <w:rPr>
          <w:rFonts w:ascii="Arial" w:hAnsi="Arial" w:cs="Arial"/>
          <w:color w:val="333333"/>
          <w:sz w:val="19"/>
          <w:szCs w:val="19"/>
        </w:rPr>
        <w:softHyphen/>
        <w:t>но также в произвольной фор</w:t>
      </w:r>
      <w:r>
        <w:rPr>
          <w:rFonts w:ascii="Arial" w:hAnsi="Arial" w:cs="Arial"/>
          <w:color w:val="333333"/>
          <w:sz w:val="19"/>
          <w:szCs w:val="19"/>
        </w:rPr>
        <w:softHyphen/>
        <w:t>ме с указанием наименования главного бюро (Федерального бюро), в которое подано заяв</w:t>
      </w:r>
      <w:r>
        <w:rPr>
          <w:rFonts w:ascii="Arial" w:hAnsi="Arial" w:cs="Arial"/>
          <w:color w:val="333333"/>
          <w:sz w:val="19"/>
          <w:szCs w:val="19"/>
        </w:rPr>
        <w:softHyphen/>
        <w:t>ление с просьбой о проведении освидетельствования по обжа</w:t>
      </w:r>
      <w:r>
        <w:rPr>
          <w:rFonts w:ascii="Arial" w:hAnsi="Arial" w:cs="Arial"/>
          <w:color w:val="333333"/>
          <w:sz w:val="19"/>
          <w:szCs w:val="19"/>
        </w:rPr>
        <w:softHyphen/>
        <w:t>лованию решения бюро (главно</w:t>
      </w:r>
      <w:r>
        <w:rPr>
          <w:rFonts w:ascii="Arial" w:hAnsi="Arial" w:cs="Arial"/>
          <w:color w:val="333333"/>
          <w:sz w:val="19"/>
          <w:szCs w:val="19"/>
        </w:rPr>
        <w:softHyphen/>
        <w:t>го бюро) с указанием его цели, ФИО заявителя, адреса, наиме</w:t>
      </w:r>
      <w:r>
        <w:rPr>
          <w:rFonts w:ascii="Arial" w:hAnsi="Arial" w:cs="Arial"/>
          <w:color w:val="333333"/>
          <w:sz w:val="19"/>
          <w:szCs w:val="19"/>
        </w:rPr>
        <w:softHyphen/>
        <w:t>нования бюро (главного бюро), даты подачи заявления.</w:t>
      </w:r>
    </w:p>
    <w:p w:rsidR="000A473C" w:rsidRDefault="000A473C" w:rsidP="000A47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Решения бюро, главного бюро, Федерального бюро мо</w:t>
      </w:r>
      <w:r>
        <w:rPr>
          <w:rFonts w:ascii="Arial" w:hAnsi="Arial" w:cs="Arial"/>
          <w:color w:val="333333"/>
          <w:sz w:val="19"/>
          <w:szCs w:val="19"/>
        </w:rPr>
        <w:softHyphen/>
        <w:t>гут быть обжалованы в суде в порядке, установленном зако</w:t>
      </w:r>
      <w:r>
        <w:rPr>
          <w:rFonts w:ascii="Arial" w:hAnsi="Arial" w:cs="Arial"/>
          <w:color w:val="333333"/>
          <w:sz w:val="19"/>
          <w:szCs w:val="19"/>
        </w:rPr>
        <w:softHyphen/>
        <w:t>нодательством Российской Фе</w:t>
      </w:r>
      <w:r>
        <w:rPr>
          <w:rFonts w:ascii="Arial" w:hAnsi="Arial" w:cs="Arial"/>
          <w:color w:val="333333"/>
          <w:sz w:val="19"/>
          <w:szCs w:val="19"/>
        </w:rPr>
        <w:softHyphen/>
        <w:t>дерации.</w:t>
      </w:r>
    </w:p>
    <w:p w:rsidR="000A473C" w:rsidRDefault="000A473C"/>
    <w:p w:rsidR="000A473C" w:rsidRDefault="000A473C"/>
    <w:p w:rsidR="000A473C" w:rsidRDefault="000A473C"/>
    <w:p w:rsidR="000A473C" w:rsidRDefault="000A473C"/>
    <w:p w:rsidR="000A473C" w:rsidRDefault="000A473C"/>
    <w:p w:rsidR="000A473C" w:rsidRDefault="000A473C"/>
    <w:p w:rsidR="000A473C" w:rsidRDefault="000A473C"/>
    <w:sectPr w:rsidR="000A473C" w:rsidSect="0010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31E"/>
    <w:rsid w:val="000A473C"/>
    <w:rsid w:val="00106D36"/>
    <w:rsid w:val="0018631E"/>
    <w:rsid w:val="006310B9"/>
    <w:rsid w:val="006E25B1"/>
    <w:rsid w:val="008242DF"/>
    <w:rsid w:val="00A8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18631E"/>
    <w:rPr>
      <w:i/>
      <w:iCs/>
    </w:rPr>
  </w:style>
  <w:style w:type="character" w:customStyle="1" w:styleId="apple-converted-space">
    <w:name w:val="apple-converted-space"/>
    <w:basedOn w:val="a0"/>
    <w:rsid w:val="000A473C"/>
  </w:style>
  <w:style w:type="character" w:styleId="a5">
    <w:name w:val="Hyperlink"/>
    <w:basedOn w:val="a0"/>
    <w:uiPriority w:val="99"/>
    <w:unhideWhenUsed/>
    <w:rsid w:val="006E25B1"/>
    <w:rPr>
      <w:strike w:val="0"/>
      <w:dstrike w:val="0"/>
      <w:color w:val="27609B"/>
      <w:u w:val="none"/>
      <w:effect w:val="none"/>
    </w:rPr>
  </w:style>
  <w:style w:type="paragraph" w:styleId="a6">
    <w:name w:val="No Spacing"/>
    <w:link w:val="a7"/>
    <w:uiPriority w:val="99"/>
    <w:qFormat/>
    <w:rsid w:val="006E25B1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6E25B1"/>
  </w:style>
  <w:style w:type="paragraph" w:styleId="a8">
    <w:name w:val="Balloon Text"/>
    <w:basedOn w:val="a"/>
    <w:link w:val="a9"/>
    <w:uiPriority w:val="99"/>
    <w:semiHidden/>
    <w:unhideWhenUsed/>
    <w:rsid w:val="006E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-online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zdravnadzo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inzdravsoc.ru/" TargetMode="External"/><Relationship Id="rId9" Type="http://schemas.openxmlformats.org/officeDocument/2006/relationships/hyperlink" Target="http://www.Kan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Сидяк</dc:creator>
  <cp:keywords/>
  <dc:description/>
  <cp:lastModifiedBy>Сидяк</cp:lastModifiedBy>
  <cp:revision>2</cp:revision>
  <dcterms:created xsi:type="dcterms:W3CDTF">2015-07-31T05:03:00Z</dcterms:created>
  <dcterms:modified xsi:type="dcterms:W3CDTF">2015-07-31T05:03:00Z</dcterms:modified>
</cp:coreProperties>
</file>